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7027"/>
      </w:tblGrid>
      <w:tr w:rsidR="00724CE7" w14:paraId="1F09F25F" w14:textId="77777777" w:rsidTr="00724CE7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202FF" w14:textId="77777777" w:rsidR="00724CE7" w:rsidRDefault="00724CE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Date</w:t>
            </w:r>
          </w:p>
        </w:tc>
        <w:tc>
          <w:tcPr>
            <w:tcW w:w="10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E2AE" w14:textId="77777777" w:rsidR="00724CE7" w:rsidRDefault="00724CE7">
            <w:pPr>
              <w:jc w:val="both"/>
              <w:rPr>
                <w:b/>
                <w:bCs/>
                <w:lang w:val="en-US"/>
                <w14:ligatures w14:val="none"/>
              </w:rPr>
            </w:pPr>
            <w:r>
              <w:rPr>
                <w:b/>
                <w:bCs/>
                <w:color w:val="000000"/>
                <w:lang w:val="en-US"/>
                <w14:ligatures w14:val="none"/>
              </w:rPr>
              <w:t>Rules in force</w:t>
            </w:r>
          </w:p>
        </w:tc>
      </w:tr>
      <w:tr w:rsidR="00724CE7" w14:paraId="2C8F1571" w14:textId="77777777" w:rsidTr="00724CE7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3F316" w14:textId="77777777" w:rsidR="00724CE7" w:rsidRDefault="00724CE7">
            <w:pPr>
              <w:jc w:val="both"/>
              <w:rPr>
                <w:b/>
                <w:bCs/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 xml:space="preserve">As from 31 December 2022 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8542" w14:textId="77777777" w:rsidR="00724CE7" w:rsidRDefault="00724CE7">
            <w:pPr>
              <w:jc w:val="both"/>
              <w:rPr>
                <w:b/>
                <w:bCs/>
                <w:lang w:val="en-US"/>
                <w14:ligatures w14:val="none"/>
              </w:rPr>
            </w:pPr>
            <w:r>
              <w:rPr>
                <w:u w:val="single"/>
                <w:lang w:val="en-US"/>
                <w14:ligatures w14:val="none"/>
              </w:rPr>
              <w:t>Emergency Regulation on Permitting from 2022</w:t>
            </w:r>
            <w:r>
              <w:rPr>
                <w:b/>
                <w:bCs/>
                <w:lang w:val="en-US"/>
                <w14:ligatures w14:val="none"/>
              </w:rPr>
              <w:t xml:space="preserve"> </w:t>
            </w:r>
            <w:r>
              <w:rPr>
                <w:i/>
                <w:iCs/>
                <w:lang w:val="en-US"/>
                <w14:ligatures w14:val="none"/>
              </w:rPr>
              <w:t>(</w:t>
            </w:r>
            <w:r>
              <w:rPr>
                <w:i/>
                <w:iCs/>
                <w:highlight w:val="yellow"/>
                <w:lang w:val="en-US"/>
                <w14:ligatures w14:val="none"/>
              </w:rPr>
              <w:t>rules that will continue when RED III will take over</w:t>
            </w:r>
            <w:r>
              <w:rPr>
                <w:i/>
                <w:iCs/>
                <w:lang w:val="en-US"/>
                <w14:ligatures w14:val="none"/>
              </w:rPr>
              <w:t>)</w:t>
            </w:r>
          </w:p>
          <w:p w14:paraId="24520EE4" w14:textId="77777777" w:rsidR="00724CE7" w:rsidRDefault="00724CE7" w:rsidP="00782032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lang w:val="en-US"/>
                <w14:ligatures w14:val="none"/>
              </w:rPr>
            </w:pPr>
            <w:r>
              <w:rPr>
                <w:b/>
                <w:bCs/>
              </w:rPr>
              <w:t>What a permitting procedure encompasses is clearer</w:t>
            </w:r>
            <w:r>
              <w:t>: grid connection permits and EIA assessment must also be delivered withing the timeline.</w:t>
            </w:r>
          </w:p>
          <w:p w14:paraId="7B121977" w14:textId="77777777" w:rsidR="00724CE7" w:rsidRDefault="00724CE7" w:rsidP="00782032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lang w:val="en-US"/>
              </w:rPr>
            </w:pPr>
            <w:r>
              <w:rPr>
                <w:b/>
                <w:bCs/>
              </w:rPr>
              <w:t>Permits for repowering projects with max 15% capacity increase</w:t>
            </w:r>
            <w:r>
              <w:t xml:space="preserve"> must be delivered within three months.</w:t>
            </w:r>
          </w:p>
          <w:p w14:paraId="0067E5DE" w14:textId="77777777" w:rsidR="00724CE7" w:rsidRDefault="00724CE7" w:rsidP="00782032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EIA f</w:t>
            </w:r>
            <w:r>
              <w:rPr>
                <w:b/>
                <w:bCs/>
              </w:rPr>
              <w:t>or repowering projects</w:t>
            </w:r>
            <w:r>
              <w:t xml:space="preserve"> must be limited to additional impacts compared to the initial project.</w:t>
            </w:r>
          </w:p>
          <w:p w14:paraId="2CEA1E09" w14:textId="77777777" w:rsidR="00724CE7" w:rsidRDefault="00724CE7" w:rsidP="00782032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lang w:val="en-US"/>
              </w:rPr>
            </w:pPr>
            <w:r>
              <w:rPr>
                <w:b/>
                <w:bCs/>
              </w:rPr>
              <w:t>For already designed RES areas</w:t>
            </w:r>
            <w:r>
              <w:t xml:space="preserve"> that have been subject to an SEA, wind projects can be exempted from doing an EIA.</w:t>
            </w:r>
          </w:p>
        </w:tc>
      </w:tr>
      <w:tr w:rsidR="00724CE7" w14:paraId="7E5D7C5B" w14:textId="77777777" w:rsidTr="00724CE7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64D92" w14:textId="77777777" w:rsidR="00724CE7" w:rsidRDefault="00724CE7">
            <w:pPr>
              <w:jc w:val="both"/>
              <w:rPr>
                <w:b/>
                <w:bCs/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From 31 December 2022 until 30 June 2024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A9263" w14:textId="77777777" w:rsidR="00724CE7" w:rsidRDefault="00724CE7">
            <w:pPr>
              <w:jc w:val="both"/>
              <w:rPr>
                <w:i/>
                <w:iCs/>
                <w:lang w:val="en-US"/>
                <w14:ligatures w14:val="none"/>
              </w:rPr>
            </w:pPr>
            <w:r>
              <w:rPr>
                <w:u w:val="single"/>
                <w:lang w:val="en-US"/>
                <w14:ligatures w14:val="none"/>
              </w:rPr>
              <w:t>Emergency Regulation on Permitting from 2022</w:t>
            </w:r>
            <w:r>
              <w:rPr>
                <w:b/>
                <w:bCs/>
                <w:lang w:val="en-US"/>
                <w14:ligatures w14:val="none"/>
              </w:rPr>
              <w:t xml:space="preserve"> </w:t>
            </w:r>
            <w:r>
              <w:rPr>
                <w:i/>
                <w:iCs/>
                <w:highlight w:val="yellow"/>
                <w:lang w:val="en-US"/>
                <w14:ligatures w14:val="none"/>
              </w:rPr>
              <w:t>(rules that will stop when RED III will take over)</w:t>
            </w:r>
          </w:p>
          <w:p w14:paraId="15DEAA39" w14:textId="77777777" w:rsidR="00724CE7" w:rsidRDefault="00724CE7" w:rsidP="00782032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lang w:val="en-US"/>
                <w14:ligatures w14:val="none"/>
              </w:rPr>
            </w:pPr>
            <w:r>
              <w:rPr>
                <w:b/>
                <w:bCs/>
              </w:rPr>
              <w:t>Permits for repowering projects</w:t>
            </w:r>
            <w:r>
              <w:t xml:space="preserve"> must be delivered in 6 months.</w:t>
            </w:r>
          </w:p>
          <w:p w14:paraId="1A350069" w14:textId="77777777" w:rsidR="00724CE7" w:rsidRDefault="00724CE7" w:rsidP="00782032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Overriding public </w:t>
            </w:r>
            <w:r>
              <w:rPr>
                <w:b/>
                <w:bCs/>
              </w:rPr>
              <w:t>interest</w:t>
            </w:r>
            <w:r>
              <w:t xml:space="preserve"> for RES but MS may exempt some technologies or parts of the territories without justification.</w:t>
            </w:r>
          </w:p>
        </w:tc>
      </w:tr>
      <w:tr w:rsidR="00724CE7" w14:paraId="74B46D3C" w14:textId="77777777" w:rsidTr="00724CE7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A272" w14:textId="77777777" w:rsidR="00724CE7" w:rsidRDefault="00724CE7">
            <w:pPr>
              <w:jc w:val="both"/>
              <w:rPr>
                <w:b/>
                <w:bCs/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From 31 December 2022 until 30 June 2025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CE521" w14:textId="77777777" w:rsidR="00724CE7" w:rsidRDefault="00724CE7">
            <w:pPr>
              <w:jc w:val="both"/>
              <w:rPr>
                <w:lang w:val="en-US"/>
                <w14:ligatures w14:val="none"/>
              </w:rPr>
            </w:pPr>
            <w:r>
              <w:rPr>
                <w:u w:val="single"/>
                <w:lang w:val="en-US"/>
                <w14:ligatures w14:val="none"/>
              </w:rPr>
              <w:t>Emergency Regulation on Permitting from 2022</w:t>
            </w:r>
            <w:r>
              <w:rPr>
                <w:b/>
                <w:bCs/>
                <w:lang w:val="en-US"/>
                <w14:ligatures w14:val="none"/>
              </w:rPr>
              <w:t xml:space="preserve"> </w:t>
            </w:r>
            <w:r>
              <w:rPr>
                <w:i/>
                <w:iCs/>
                <w:highlight w:val="yellow"/>
                <w:lang w:val="en-US"/>
                <w14:ligatures w14:val="none"/>
              </w:rPr>
              <w:t>(rules that are extended in 2023 and will overrule the ones of RED until 2025)</w:t>
            </w:r>
          </w:p>
          <w:p w14:paraId="71EEE42C" w14:textId="77777777" w:rsidR="00724CE7" w:rsidRDefault="00724CE7" w:rsidP="00782032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lang w:val="en-US"/>
                <w14:ligatures w14:val="none"/>
              </w:rPr>
            </w:pPr>
            <w:r>
              <w:t xml:space="preserve">The RES projects (+ grid related etc.) recognised as being of </w:t>
            </w:r>
            <w:r>
              <w:rPr>
                <w:b/>
                <w:bCs/>
              </w:rPr>
              <w:t>overriding public interest</w:t>
            </w:r>
            <w:r>
              <w:t xml:space="preserve"> should be given priority when balancing legal interest in the individual case. </w:t>
            </w:r>
            <w:r>
              <w:rPr>
                <w:b/>
                <w:bCs/>
              </w:rPr>
              <w:t>This is not only limited to Environmental rules of the Birds and Habitat Directive but could also be conflicts with other legal interests</w:t>
            </w:r>
            <w:r>
              <w:t xml:space="preserve">. </w:t>
            </w:r>
          </w:p>
        </w:tc>
      </w:tr>
      <w:tr w:rsidR="00724CE7" w14:paraId="6B867324" w14:textId="77777777" w:rsidTr="00724CE7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F7D60" w14:textId="77777777" w:rsidR="00724CE7" w:rsidRDefault="00724CE7">
            <w:pPr>
              <w:jc w:val="both"/>
              <w:rPr>
                <w:b/>
                <w:bCs/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From 11 January 2024 until 30 June 2025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98FA" w14:textId="77777777" w:rsidR="00724CE7" w:rsidRDefault="00724CE7">
            <w:pPr>
              <w:jc w:val="both"/>
              <w:rPr>
                <w:lang w:val="en-US"/>
                <w14:ligatures w14:val="none"/>
              </w:rPr>
            </w:pPr>
            <w:r>
              <w:rPr>
                <w:u w:val="single"/>
                <w:lang w:val="en-US"/>
                <w14:ligatures w14:val="none"/>
              </w:rPr>
              <w:t>Emergency Regulation on Permitting from 2023</w:t>
            </w:r>
            <w:r>
              <w:rPr>
                <w:b/>
                <w:bCs/>
                <w:lang w:val="en-US"/>
                <w14:ligatures w14:val="none"/>
              </w:rPr>
              <w:t xml:space="preserve"> </w:t>
            </w:r>
            <w:r>
              <w:rPr>
                <w:i/>
                <w:iCs/>
                <w:lang w:val="en-US"/>
                <w14:ligatures w14:val="none"/>
              </w:rPr>
              <w:t>(</w:t>
            </w:r>
            <w:r>
              <w:rPr>
                <w:i/>
                <w:iCs/>
                <w:highlight w:val="yellow"/>
                <w:lang w:val="en-US"/>
                <w14:ligatures w14:val="none"/>
              </w:rPr>
              <w:t>additional rules created in 2023 that do not exist in RED III</w:t>
            </w:r>
            <w:r>
              <w:rPr>
                <w:i/>
                <w:iCs/>
                <w:lang w:val="en-US"/>
                <w14:ligatures w14:val="none"/>
              </w:rPr>
              <w:t>. We’ll need to see what happens after 30 June 2025)</w:t>
            </w:r>
          </w:p>
          <w:p w14:paraId="1A3E8524" w14:textId="77777777" w:rsidR="00724CE7" w:rsidRDefault="00724CE7" w:rsidP="00782032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lang w:val="en-US"/>
                <w14:ligatures w14:val="none"/>
              </w:rPr>
            </w:pPr>
            <w:r>
              <w:t>Definition of what an ‘</w:t>
            </w:r>
            <w:r>
              <w:rPr>
                <w:b/>
                <w:bCs/>
              </w:rPr>
              <w:t>Absence of alternative or satisfactory solutions</w:t>
            </w:r>
            <w:r>
              <w:t>’ means</w:t>
            </w:r>
          </w:p>
        </w:tc>
      </w:tr>
      <w:tr w:rsidR="00724CE7" w14:paraId="53118573" w14:textId="77777777" w:rsidTr="00724CE7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2DB5" w14:textId="77777777" w:rsidR="00724CE7" w:rsidRDefault="00724CE7">
            <w:pPr>
              <w:jc w:val="both"/>
              <w:rPr>
                <w:b/>
                <w:bCs/>
                <w:lang w:val="en-US"/>
                <w14:ligatures w14:val="none"/>
              </w:rPr>
            </w:pPr>
            <w:r>
              <w:rPr>
                <w:b/>
                <w:bCs/>
                <w:lang w:val="en-US"/>
                <w14:ligatures w14:val="none"/>
              </w:rPr>
              <w:t>As from 1 July 2024</w:t>
            </w:r>
          </w:p>
        </w:tc>
        <w:tc>
          <w:tcPr>
            <w:tcW w:w="10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3586" w14:textId="77777777" w:rsidR="00724CE7" w:rsidRDefault="00724CE7">
            <w:pPr>
              <w:jc w:val="both"/>
              <w:rPr>
                <w:lang w:val="en-US"/>
                <w14:ligatures w14:val="none"/>
              </w:rPr>
            </w:pPr>
            <w:r>
              <w:rPr>
                <w:u w:val="single"/>
                <w:lang w:val="en-US"/>
                <w14:ligatures w14:val="none"/>
              </w:rPr>
              <w:t>RED III</w:t>
            </w:r>
            <w:r>
              <w:rPr>
                <w:b/>
                <w:bCs/>
                <w:lang w:val="en-US"/>
                <w14:ligatures w14:val="none"/>
              </w:rPr>
              <w:t xml:space="preserve"> </w:t>
            </w:r>
            <w:r>
              <w:rPr>
                <w:i/>
                <w:iCs/>
                <w:lang w:val="en-US"/>
                <w14:ligatures w14:val="none"/>
              </w:rPr>
              <w:t>(</w:t>
            </w:r>
            <w:r>
              <w:rPr>
                <w:i/>
                <w:iCs/>
                <w:highlight w:val="yellow"/>
                <w:lang w:val="en-US"/>
                <w14:ligatures w14:val="none"/>
              </w:rPr>
              <w:t>Please also refer to RED III briefing for the detail of all permitting provisions</w:t>
            </w:r>
            <w:r>
              <w:rPr>
                <w:i/>
                <w:iCs/>
                <w:lang w:val="en-US"/>
                <w14:ligatures w14:val="none"/>
              </w:rPr>
              <w:t>)</w:t>
            </w:r>
          </w:p>
          <w:p w14:paraId="407C1512" w14:textId="77777777" w:rsidR="00724CE7" w:rsidRDefault="00724CE7" w:rsidP="00782032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lang w:val="en-US"/>
                <w14:ligatures w14:val="none"/>
              </w:rPr>
            </w:pPr>
            <w:r>
              <w:t>The Commission will be able to chase Member States for not having implemented the directive.</w:t>
            </w:r>
          </w:p>
          <w:p w14:paraId="734120A3" w14:textId="77777777" w:rsidR="00724CE7" w:rsidRDefault="00724CE7" w:rsidP="00782032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lang w:val="en-US"/>
              </w:rPr>
            </w:pPr>
            <w:r>
              <w:t xml:space="preserve">Should Member States want to exempt certain technologies or parts of their territories from the application of the </w:t>
            </w:r>
            <w:r>
              <w:rPr>
                <w:b/>
                <w:bCs/>
              </w:rPr>
              <w:t>overriding public interest</w:t>
            </w:r>
            <w:r>
              <w:t xml:space="preserve"> form RES, they must notify and justify it to the Commission.</w:t>
            </w:r>
          </w:p>
          <w:p w14:paraId="248E09E6" w14:textId="77777777" w:rsidR="00724CE7" w:rsidRDefault="00724CE7" w:rsidP="0078203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en-GB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en-GB" w:eastAsia="en-US"/>
              </w:rPr>
              <w:t>Permitting deadlines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en-GB" w:eastAsia="en-US"/>
              </w:rPr>
              <w:t>:</w:t>
            </w:r>
          </w:p>
          <w:p w14:paraId="781E799E" w14:textId="77777777" w:rsidR="00724CE7" w:rsidRDefault="00724CE7" w:rsidP="00782032">
            <w:pPr>
              <w:pStyle w:val="default"/>
              <w:numPr>
                <w:ilvl w:val="1"/>
                <w:numId w:val="2"/>
              </w:numPr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en-GB" w:eastAsia="en-US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u w:val="single"/>
                <w:lang w:val="en-GB" w:eastAsia="en-US"/>
              </w:rPr>
              <w:t>New projects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en-GB" w:eastAsia="en-US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en-GB" w:eastAsia="en-US"/>
              </w:rPr>
              <w:t>1y for new projects, 2y for new offshore projects, extendable by 6 months under extraordinary circumstances.</w:t>
            </w:r>
          </w:p>
          <w:p w14:paraId="442CA406" w14:textId="77777777" w:rsidR="00724CE7" w:rsidRDefault="00724CE7" w:rsidP="00782032">
            <w:pPr>
              <w:pStyle w:val="default"/>
              <w:numPr>
                <w:ilvl w:val="1"/>
                <w:numId w:val="2"/>
              </w:numPr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en-GB" w:eastAsia="en-US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u w:val="single"/>
                <w:lang w:val="en-GB" w:eastAsia="en-US"/>
              </w:rPr>
              <w:t>Repowering projects: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en-GB" w:eastAsia="en-US"/>
              </w:rPr>
              <w:t xml:space="preserve"> 6 months for onshore projects, 1y for offshore projects, extendable by 6 months under extraordinary circumstances.</w:t>
            </w:r>
          </w:p>
          <w:p w14:paraId="7F9D5D4E" w14:textId="77777777" w:rsidR="00724CE7" w:rsidRDefault="00724CE7" w:rsidP="00782032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eastAsia="Times New Roman"/>
              </w:rPr>
            </w:pPr>
            <w:r>
              <w:rPr>
                <w:b/>
                <w:bCs/>
              </w:rPr>
              <w:t>Positive silence</w:t>
            </w:r>
            <w:r>
              <w:t xml:space="preserve"> is possible for countries where the concept exists. It means that in the absence of response of the administration within the deadline, the answer is deemed approved. </w:t>
            </w:r>
          </w:p>
        </w:tc>
      </w:tr>
    </w:tbl>
    <w:p w14:paraId="33B45DEF" w14:textId="77777777" w:rsidR="00C2541A" w:rsidRDefault="00C2541A"/>
    <w:sectPr w:rsidR="00C25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15995"/>
    <w:multiLevelType w:val="hybridMultilevel"/>
    <w:tmpl w:val="BFB64406"/>
    <w:lvl w:ilvl="0" w:tplc="A42CC8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324C2"/>
    <w:multiLevelType w:val="hybridMultilevel"/>
    <w:tmpl w:val="BAA6240A"/>
    <w:lvl w:ilvl="0" w:tplc="49A2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05138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733136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E7"/>
    <w:rsid w:val="00724CE7"/>
    <w:rsid w:val="009F28BE"/>
    <w:rsid w:val="00C15164"/>
    <w:rsid w:val="00C2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4119"/>
  <w15:chartTrackingRefBased/>
  <w15:docId w15:val="{7FE07F91-980F-4B42-91A5-FF9EEF61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CE7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C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C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C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C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C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CE7"/>
    <w:rPr>
      <w:i/>
      <w:iCs/>
      <w:color w:val="404040" w:themeColor="text1" w:themeTint="BF"/>
    </w:rPr>
  </w:style>
  <w:style w:type="paragraph" w:styleId="ListParagraph">
    <w:name w:val="List Paragraph"/>
    <w:aliases w:val="Conclusion de partie,Dot pt,No Spacing1,List Paragraph Char Char Char,Indicator Text,Numbered Para 1,List Paragraph1,Bullet Points,MAIN CONTENT,List Paragraph12,List Paragraph11,OBC Bullet,F5 List Paragraph,Colorful List - Accent 11,Dot p"/>
    <w:basedOn w:val="Normal"/>
    <w:link w:val="ListParagraphChar"/>
    <w:uiPriority w:val="34"/>
    <w:qFormat/>
    <w:rsid w:val="00724C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CE7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Conclusion de partie Char,Dot pt Char,No Spacing1 Char,List Paragraph Char Char Char Char,Indicator Text Char,Numbered Para 1 Char,List Paragraph1 Char,Bullet Points Char,MAIN CONTENT Char,List Paragraph12 Char,List Paragraph11 Char"/>
    <w:basedOn w:val="DefaultParagraphFont"/>
    <w:link w:val="ListParagraph"/>
    <w:uiPriority w:val="34"/>
    <w:locked/>
    <w:rsid w:val="00724CE7"/>
  </w:style>
  <w:style w:type="paragraph" w:customStyle="1" w:styleId="default">
    <w:name w:val="default"/>
    <w:basedOn w:val="Normal"/>
    <w:rsid w:val="00724CE7"/>
    <w:rPr>
      <w:rFonts w:ascii="Times New Roman" w:hAnsi="Times New Roman" w:cs="Times New Roman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Willems</dc:creator>
  <cp:keywords/>
  <dc:description/>
  <cp:lastModifiedBy>Guy Willems</cp:lastModifiedBy>
  <cp:revision>1</cp:revision>
  <cp:lastPrinted>2024-06-04T07:43:00Z</cp:lastPrinted>
  <dcterms:created xsi:type="dcterms:W3CDTF">2024-06-04T07:42:00Z</dcterms:created>
  <dcterms:modified xsi:type="dcterms:W3CDTF">2024-06-04T12:21:00Z</dcterms:modified>
</cp:coreProperties>
</file>